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81" w:lineRule="exact"/>
        <w:rPr>
          <w:sz w:val="24"/>
          <w:szCs w:val="24"/>
          <w:color w:val="auto"/>
        </w:rPr>
      </w:pPr>
    </w:p>
    <w:p>
      <w:pPr>
        <w:jc w:val="center"/>
        <w:spacing w:after="0"/>
        <w:rPr>
          <w:sz w:val="20"/>
          <w:szCs w:val="20"/>
          <w:color w:val="auto"/>
        </w:rPr>
      </w:pPr>
      <w:r>
        <w:rPr>
          <w:rFonts w:ascii="Arial" w:cs="Arial" w:eastAsia="Arial" w:hAnsi="Arial"/>
          <w:sz w:val="25"/>
          <w:szCs w:val="25"/>
          <w:b w:val="1"/>
          <w:bCs w:val="1"/>
          <w:color w:val="auto"/>
        </w:rPr>
        <w:t>UNITED STATES</w:t>
      </w:r>
    </w:p>
    <w:p>
      <w:pPr>
        <w:jc w:val="center"/>
        <w:spacing w:after="0" w:line="202" w:lineRule="auto"/>
        <w:rPr>
          <w:sz w:val="20"/>
          <w:szCs w:val="20"/>
          <w:color w:val="auto"/>
        </w:rPr>
      </w:pPr>
      <w:r>
        <w:rPr>
          <w:rFonts w:ascii="Arial" w:cs="Arial" w:eastAsia="Arial" w:hAnsi="Arial"/>
          <w:sz w:val="25"/>
          <w:szCs w:val="25"/>
          <w:b w:val="1"/>
          <w:bCs w:val="1"/>
          <w:color w:val="auto"/>
        </w:rPr>
        <w:t>SECURITIES AND EXCHANGE COMMISSION</w:t>
      </w:r>
    </w:p>
    <w:p>
      <w:pPr>
        <w:spacing w:after="0" w:line="1" w:lineRule="exact"/>
        <w:rPr>
          <w:sz w:val="24"/>
          <w:szCs w:val="24"/>
          <w:color w:val="auto"/>
        </w:rPr>
      </w:pPr>
    </w:p>
    <w:p>
      <w:pPr>
        <w:jc w:val="center"/>
        <w:spacing w:after="0"/>
        <w:rPr>
          <w:sz w:val="20"/>
          <w:szCs w:val="20"/>
          <w:color w:val="auto"/>
        </w:rPr>
      </w:pPr>
      <w:r>
        <w:rPr>
          <w:rFonts w:ascii="Arial" w:cs="Arial" w:eastAsia="Arial" w:hAnsi="Arial"/>
          <w:sz w:val="25"/>
          <w:szCs w:val="25"/>
          <w:b w:val="1"/>
          <w:bCs w:val="1"/>
          <w:color w:val="auto"/>
        </w:rPr>
        <w:t>Washington, D.C. 20549</w:t>
      </w:r>
    </w:p>
    <w:p>
      <w:pPr>
        <w:spacing w:after="0" w:line="171" w:lineRule="exact"/>
        <w:rPr>
          <w:sz w:val="24"/>
          <w:szCs w:val="24"/>
          <w:color w:val="auto"/>
        </w:rPr>
      </w:pPr>
    </w:p>
    <w:p>
      <w:pPr>
        <w:jc w:val="center"/>
        <w:spacing w:after="0"/>
        <w:rPr>
          <w:sz w:val="20"/>
          <w:szCs w:val="20"/>
          <w:color w:val="auto"/>
        </w:rPr>
      </w:pPr>
      <w:r>
        <w:rPr>
          <w:rFonts w:ascii="Arial" w:cs="Arial" w:eastAsia="Arial" w:hAnsi="Arial"/>
          <w:sz w:val="25"/>
          <w:szCs w:val="25"/>
          <w:b w:val="1"/>
          <w:bCs w:val="1"/>
          <w:color w:val="auto"/>
        </w:rPr>
        <w:t>FORM 6-K</w:t>
      </w:r>
    </w:p>
    <w:p>
      <w:pPr>
        <w:spacing w:after="0" w:line="200" w:lineRule="exact"/>
        <w:rPr>
          <w:sz w:val="24"/>
          <w:szCs w:val="24"/>
          <w:color w:val="auto"/>
        </w:rPr>
      </w:pPr>
    </w:p>
    <w:p>
      <w:pPr>
        <w:spacing w:after="0" w:line="257" w:lineRule="exact"/>
        <w:rPr>
          <w:sz w:val="24"/>
          <w:szCs w:val="24"/>
          <w:color w:val="auto"/>
        </w:rPr>
      </w:pPr>
    </w:p>
    <w:p>
      <w:pPr>
        <w:jc w:val="center"/>
        <w:ind w:left="40" w:right="59"/>
        <w:spacing w:after="0" w:line="223" w:lineRule="auto"/>
        <w:rPr>
          <w:sz w:val="20"/>
          <w:szCs w:val="20"/>
          <w:color w:val="auto"/>
        </w:rPr>
      </w:pPr>
      <w:r>
        <w:rPr>
          <w:rFonts w:ascii="Arial" w:cs="Arial" w:eastAsia="Arial" w:hAnsi="Arial"/>
          <w:sz w:val="22"/>
          <w:szCs w:val="22"/>
          <w:color w:val="auto"/>
        </w:rPr>
        <w:t>REPORT OF FOREIGN PRIVATE ISSUER PURSUANT TO RULE 13a-16 OR 15d-16 UNDER THE SECURITIES EXCHANGE ACT OF 1934</w:t>
      </w:r>
    </w:p>
    <w:p>
      <w:pPr>
        <w:spacing w:after="0" w:line="200" w:lineRule="exact"/>
        <w:rPr>
          <w:sz w:val="24"/>
          <w:szCs w:val="24"/>
          <w:color w:val="auto"/>
        </w:rPr>
      </w:pPr>
    </w:p>
    <w:p>
      <w:pPr>
        <w:spacing w:after="0" w:line="229" w:lineRule="exact"/>
        <w:rPr>
          <w:sz w:val="24"/>
          <w:szCs w:val="24"/>
          <w:color w:val="auto"/>
        </w:rPr>
      </w:pPr>
    </w:p>
    <w:p>
      <w:pPr>
        <w:jc w:val="center"/>
        <w:spacing w:after="0"/>
        <w:rPr>
          <w:sz w:val="20"/>
          <w:szCs w:val="20"/>
          <w:color w:val="auto"/>
        </w:rPr>
      </w:pPr>
      <w:r>
        <w:rPr>
          <w:rFonts w:ascii="Arial" w:cs="Arial" w:eastAsia="Arial" w:hAnsi="Arial"/>
          <w:sz w:val="22"/>
          <w:szCs w:val="22"/>
          <w:color w:val="auto"/>
        </w:rPr>
        <w:t>For the month of May, 2022</w:t>
      </w:r>
    </w:p>
    <w:p>
      <w:pPr>
        <w:spacing w:after="0" w:line="206" w:lineRule="exact"/>
        <w:rPr>
          <w:sz w:val="24"/>
          <w:szCs w:val="24"/>
          <w:color w:val="auto"/>
        </w:rPr>
      </w:pPr>
    </w:p>
    <w:p>
      <w:pPr>
        <w:jc w:val="center"/>
        <w:spacing w:after="0"/>
        <w:rPr>
          <w:sz w:val="20"/>
          <w:szCs w:val="20"/>
          <w:color w:val="auto"/>
        </w:rPr>
      </w:pPr>
      <w:r>
        <w:rPr>
          <w:rFonts w:ascii="Arial" w:cs="Arial" w:eastAsia="Arial" w:hAnsi="Arial"/>
          <w:sz w:val="22"/>
          <w:szCs w:val="22"/>
          <w:color w:val="auto"/>
        </w:rPr>
        <w:t>Commission File Number 1-11414</w:t>
      </w:r>
    </w:p>
    <w:p>
      <w:pPr>
        <w:spacing w:after="0" w:line="200" w:lineRule="exact"/>
        <w:rPr>
          <w:sz w:val="24"/>
          <w:szCs w:val="24"/>
          <w:color w:val="auto"/>
        </w:rPr>
      </w:pPr>
    </w:p>
    <w:p>
      <w:pPr>
        <w:spacing w:after="0" w:line="219" w:lineRule="exact"/>
        <w:rPr>
          <w:sz w:val="24"/>
          <w:szCs w:val="24"/>
          <w:color w:val="auto"/>
        </w:rPr>
      </w:pPr>
    </w:p>
    <w:p>
      <w:pPr>
        <w:jc w:val="center"/>
        <w:spacing w:after="0"/>
        <w:rPr>
          <w:sz w:val="20"/>
          <w:szCs w:val="20"/>
          <w:color w:val="auto"/>
        </w:rPr>
      </w:pPr>
      <w:r>
        <w:rPr>
          <w:rFonts w:ascii="Arial" w:cs="Arial" w:eastAsia="Arial" w:hAnsi="Arial"/>
          <w:sz w:val="25"/>
          <w:szCs w:val="25"/>
          <w:b w:val="1"/>
          <w:bCs w:val="1"/>
          <w:color w:val="auto"/>
        </w:rPr>
        <w:t>BANCO LATINOAMERICANO DE COMERCIO EXTERIOR, S.A.</w:t>
      </w:r>
    </w:p>
    <w:p>
      <w:pPr>
        <w:jc w:val="center"/>
        <w:spacing w:after="0"/>
        <w:rPr>
          <w:sz w:val="20"/>
          <w:szCs w:val="20"/>
          <w:color w:val="auto"/>
        </w:rPr>
      </w:pPr>
      <w:r>
        <w:rPr>
          <w:rFonts w:ascii="Arial" w:cs="Arial" w:eastAsia="Arial" w:hAnsi="Arial"/>
          <w:sz w:val="14"/>
          <w:szCs w:val="14"/>
          <w:color w:val="auto"/>
        </w:rPr>
        <w:t>(Exact name of Registrant as specified in its Charter)</w:t>
      </w:r>
    </w:p>
    <w:p>
      <w:pPr>
        <w:spacing w:after="0" w:line="173" w:lineRule="exact"/>
        <w:rPr>
          <w:sz w:val="24"/>
          <w:szCs w:val="24"/>
          <w:color w:val="auto"/>
        </w:rPr>
      </w:pPr>
    </w:p>
    <w:p>
      <w:pPr>
        <w:jc w:val="center"/>
        <w:spacing w:after="0"/>
        <w:rPr>
          <w:sz w:val="20"/>
          <w:szCs w:val="20"/>
          <w:color w:val="auto"/>
        </w:rPr>
      </w:pPr>
      <w:r>
        <w:rPr>
          <w:rFonts w:ascii="Arial" w:cs="Arial" w:eastAsia="Arial" w:hAnsi="Arial"/>
          <w:sz w:val="25"/>
          <w:szCs w:val="25"/>
          <w:b w:val="1"/>
          <w:bCs w:val="1"/>
          <w:color w:val="auto"/>
        </w:rPr>
        <w:t>FOREIGN TRADE BANK OF LATIN AMERICA, INC.</w:t>
      </w:r>
    </w:p>
    <w:p>
      <w:pPr>
        <w:jc w:val="center"/>
        <w:spacing w:after="0"/>
        <w:rPr>
          <w:sz w:val="20"/>
          <w:szCs w:val="20"/>
          <w:color w:val="auto"/>
        </w:rPr>
      </w:pPr>
      <w:r>
        <w:rPr>
          <w:rFonts w:ascii="Arial" w:cs="Arial" w:eastAsia="Arial" w:hAnsi="Arial"/>
          <w:sz w:val="14"/>
          <w:szCs w:val="14"/>
          <w:color w:val="auto"/>
        </w:rPr>
        <w:t>(Translation of Registrant’s name into English)</w:t>
      </w:r>
    </w:p>
    <w:p>
      <w:pPr>
        <w:spacing w:after="0" w:line="200" w:lineRule="exact"/>
        <w:rPr>
          <w:sz w:val="24"/>
          <w:szCs w:val="24"/>
          <w:color w:val="auto"/>
        </w:rPr>
      </w:pPr>
    </w:p>
    <w:p>
      <w:pPr>
        <w:spacing w:after="0" w:line="200" w:lineRule="exact"/>
        <w:rPr>
          <w:sz w:val="24"/>
          <w:szCs w:val="24"/>
          <w:color w:val="auto"/>
        </w:rPr>
      </w:pPr>
    </w:p>
    <w:p>
      <w:pPr>
        <w:spacing w:after="0" w:line="280"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Business Park Torre V, Ave. La Rotonda, Costa del Este</w:t>
      </w:r>
    </w:p>
    <w:p>
      <w:pPr>
        <w:jc w:val="center"/>
        <w:spacing w:after="0" w:line="203" w:lineRule="auto"/>
        <w:rPr>
          <w:sz w:val="20"/>
          <w:szCs w:val="20"/>
          <w:color w:val="auto"/>
        </w:rPr>
      </w:pPr>
      <w:r>
        <w:rPr>
          <w:rFonts w:ascii="Arial" w:cs="Arial" w:eastAsia="Arial" w:hAnsi="Arial"/>
          <w:sz w:val="18"/>
          <w:szCs w:val="18"/>
          <w:color w:val="auto"/>
        </w:rPr>
        <w:t>P.O. Box 0819-08730</w:t>
      </w:r>
    </w:p>
    <w:p>
      <w:pPr>
        <w:jc w:val="center"/>
        <w:spacing w:after="0" w:line="194" w:lineRule="auto"/>
        <w:rPr>
          <w:sz w:val="20"/>
          <w:szCs w:val="20"/>
          <w:color w:val="auto"/>
        </w:rPr>
      </w:pPr>
      <w:r>
        <w:rPr>
          <w:rFonts w:ascii="Arial" w:cs="Arial" w:eastAsia="Arial" w:hAnsi="Arial"/>
          <w:sz w:val="18"/>
          <w:szCs w:val="18"/>
          <w:color w:val="auto"/>
        </w:rPr>
        <w:t>Panama City, Republic of Panama</w:t>
      </w:r>
    </w:p>
    <w:p>
      <w:pPr>
        <w:jc w:val="center"/>
        <w:spacing w:after="0"/>
        <w:rPr>
          <w:sz w:val="20"/>
          <w:szCs w:val="20"/>
          <w:color w:val="auto"/>
        </w:rPr>
      </w:pPr>
      <w:r>
        <w:rPr>
          <w:rFonts w:ascii="Arial" w:cs="Arial" w:eastAsia="Arial" w:hAnsi="Arial"/>
          <w:sz w:val="14"/>
          <w:szCs w:val="14"/>
          <w:color w:val="auto"/>
        </w:rPr>
        <w:t>(Address of Registrant’s Principal Executive Offices)</w:t>
      </w:r>
    </w:p>
    <w:p>
      <w:pPr>
        <w:spacing w:after="0" w:line="200" w:lineRule="exact"/>
        <w:rPr>
          <w:sz w:val="24"/>
          <w:szCs w:val="24"/>
          <w:color w:val="auto"/>
        </w:rPr>
      </w:pPr>
    </w:p>
    <w:p>
      <w:pPr>
        <w:spacing w:after="0" w:line="200" w:lineRule="exact"/>
        <w:rPr>
          <w:sz w:val="24"/>
          <w:szCs w:val="24"/>
          <w:color w:val="auto"/>
        </w:rPr>
      </w:pPr>
    </w:p>
    <w:p>
      <w:pPr>
        <w:spacing w:after="0" w:line="295" w:lineRule="exact"/>
        <w:rPr>
          <w:sz w:val="24"/>
          <w:szCs w:val="24"/>
          <w:color w:val="auto"/>
        </w:rPr>
      </w:pPr>
    </w:p>
    <w:p>
      <w:pPr>
        <w:jc w:val="center"/>
        <w:ind w:left="40" w:right="59"/>
        <w:spacing w:after="0" w:line="340" w:lineRule="auto"/>
        <w:rPr>
          <w:sz w:val="20"/>
          <w:szCs w:val="20"/>
          <w:color w:val="auto"/>
        </w:rPr>
      </w:pPr>
      <w:r>
        <w:rPr>
          <w:rFonts w:ascii="Arial" w:cs="Arial" w:eastAsia="Arial" w:hAnsi="Arial"/>
          <w:sz w:val="18"/>
          <w:szCs w:val="18"/>
          <w:color w:val="auto"/>
        </w:rPr>
        <w:t xml:space="preserve">Indicate by check mark whether the registrant files or will file annual reports under cover of Form 20-F or Form 40-F. Form 20-F </w:t>
      </w:r>
      <w:r>
        <w:rPr>
          <w:rFonts w:ascii="Arial" w:cs="Arial" w:eastAsia="Arial" w:hAnsi="Arial"/>
          <w:sz w:val="18"/>
          <w:szCs w:val="18"/>
          <w:u w:val="single" w:color="auto"/>
          <w:color w:val="auto"/>
        </w:rPr>
        <w:t>x</w:t>
      </w:r>
      <w:r>
        <w:rPr>
          <w:rFonts w:ascii="Arial" w:cs="Arial" w:eastAsia="Arial" w:hAnsi="Arial"/>
          <w:sz w:val="18"/>
          <w:szCs w:val="18"/>
          <w:color w:val="auto"/>
        </w:rPr>
        <w:t xml:space="preserve"> Form 40-F __</w:t>
      </w:r>
    </w:p>
    <w:p>
      <w:pPr>
        <w:spacing w:after="0" w:line="102" w:lineRule="exact"/>
        <w:rPr>
          <w:sz w:val="24"/>
          <w:szCs w:val="24"/>
          <w:color w:val="auto"/>
        </w:rPr>
      </w:pPr>
    </w:p>
    <w:p>
      <w:pPr>
        <w:jc w:val="cente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101(b)(1):</w:t>
      </w:r>
    </w:p>
    <w:p>
      <w:pPr>
        <w:spacing w:after="0" w:line="73"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 xml:space="preserve">Yes __ No </w:t>
      </w:r>
      <w:r>
        <w:rPr>
          <w:rFonts w:ascii="Arial" w:cs="Arial" w:eastAsia="Arial" w:hAnsi="Arial"/>
          <w:sz w:val="18"/>
          <w:szCs w:val="18"/>
          <w:u w:val="single" w:color="auto"/>
          <w:color w:val="auto"/>
        </w:rPr>
        <w:t>x</w:t>
      </w:r>
    </w:p>
    <w:p>
      <w:pPr>
        <w:spacing w:after="0" w:line="306" w:lineRule="exact"/>
        <w:rPr>
          <w:sz w:val="24"/>
          <w:szCs w:val="24"/>
          <w:color w:val="auto"/>
        </w:rPr>
      </w:pPr>
    </w:p>
    <w:p>
      <w:pPr>
        <w:jc w:val="center"/>
        <w:spacing w:after="0"/>
        <w:rPr>
          <w:sz w:val="20"/>
          <w:szCs w:val="20"/>
          <w:color w:val="auto"/>
        </w:rPr>
      </w:pPr>
      <w:r>
        <w:rPr>
          <w:rFonts w:ascii="Arial" w:cs="Arial" w:eastAsia="Arial" w:hAnsi="Arial"/>
          <w:sz w:val="16"/>
          <w:szCs w:val="16"/>
          <w:color w:val="auto"/>
        </w:rPr>
        <w:t>Indicate by check mark if the registrant is submitting the Form 6-K in paper as permitted by Regulation S-T Rule 101(b)(7):</w:t>
      </w:r>
    </w:p>
    <w:p>
      <w:pPr>
        <w:spacing w:after="0" w:line="235" w:lineRule="exact"/>
        <w:rPr>
          <w:sz w:val="24"/>
          <w:szCs w:val="24"/>
          <w:color w:val="auto"/>
        </w:rPr>
      </w:pPr>
    </w:p>
    <w:p>
      <w:pPr>
        <w:jc w:val="center"/>
        <w:spacing w:after="0"/>
        <w:rPr>
          <w:sz w:val="20"/>
          <w:szCs w:val="20"/>
          <w:color w:val="auto"/>
        </w:rPr>
      </w:pPr>
      <w:r>
        <w:rPr>
          <w:rFonts w:ascii="Arial" w:cs="Arial" w:eastAsia="Arial" w:hAnsi="Arial"/>
          <w:sz w:val="18"/>
          <w:szCs w:val="18"/>
          <w:color w:val="auto"/>
        </w:rPr>
        <w:t xml:space="preserve">Yes __ No </w:t>
      </w:r>
      <w:r>
        <w:rPr>
          <w:rFonts w:ascii="Arial" w:cs="Arial" w:eastAsia="Arial" w:hAnsi="Arial"/>
          <w:sz w:val="18"/>
          <w:szCs w:val="18"/>
          <w:u w:val="single" w:color="auto"/>
          <w:color w:val="auto"/>
        </w:rPr>
        <w:t>x</w:t>
      </w:r>
    </w:p>
    <w:p>
      <w:pPr>
        <w:sectPr>
          <w:pgSz w:w="11900" w:h="16838" w:orient="portrait"/>
          <w:cols w:equalWidth="0" w:num="1">
            <w:col w:w="9019"/>
          </w:cols>
          <w:pgMar w:left="1440" w:top="1440"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22"/>
          <w:szCs w:val="22"/>
          <w:b w:val="1"/>
          <w:bCs w:val="1"/>
          <w:color w:val="auto"/>
        </w:rPr>
        <w:t>SIGNATURES</w:t>
      </w:r>
    </w:p>
    <w:p>
      <w:pPr>
        <w:spacing w:after="0" w:line="219" w:lineRule="exact"/>
        <w:rPr>
          <w:sz w:val="20"/>
          <w:szCs w:val="20"/>
          <w:color w:val="auto"/>
        </w:rPr>
      </w:pPr>
    </w:p>
    <w:p>
      <w:pPr>
        <w:ind w:firstLine="286"/>
        <w:spacing w:after="0" w:line="235"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200" w:lineRule="exact"/>
        <w:rPr>
          <w:sz w:val="20"/>
          <w:szCs w:val="20"/>
          <w:color w:val="auto"/>
        </w:rPr>
      </w:pPr>
    </w:p>
    <w:p>
      <w:pPr>
        <w:spacing w:after="0" w:line="211" w:lineRule="exact"/>
        <w:rPr>
          <w:sz w:val="20"/>
          <w:szCs w:val="20"/>
          <w:color w:val="auto"/>
        </w:rPr>
      </w:pPr>
    </w:p>
    <w:p>
      <w:pPr>
        <w:spacing w:after="0"/>
        <w:rPr>
          <w:sz w:val="20"/>
          <w:szCs w:val="20"/>
          <w:color w:val="auto"/>
        </w:rPr>
      </w:pPr>
      <w:r>
        <w:rPr>
          <w:rFonts w:ascii="Arial" w:cs="Arial" w:eastAsia="Arial" w:hAnsi="Arial"/>
          <w:sz w:val="18"/>
          <w:szCs w:val="18"/>
          <w:color w:val="auto"/>
        </w:rPr>
        <w:t>Date: May 3, 2022</w:t>
      </w:r>
    </w:p>
    <w:p>
      <w:pPr>
        <w:jc w:val="right"/>
        <w:spacing w:after="0" w:line="204" w:lineRule="auto"/>
        <w:rPr>
          <w:sz w:val="20"/>
          <w:szCs w:val="20"/>
          <w:color w:val="auto"/>
        </w:rPr>
      </w:pPr>
      <w:r>
        <w:rPr>
          <w:rFonts w:ascii="Arial" w:cs="Arial" w:eastAsia="Arial" w:hAnsi="Arial"/>
          <w:sz w:val="22"/>
          <w:szCs w:val="22"/>
          <w:color w:val="auto"/>
        </w:rPr>
        <w:t>FOREIGN TRADE BANK OF LATIN AMERICA, INC.</w:t>
      </w:r>
    </w:p>
    <w:p>
      <w:pPr>
        <w:spacing w:after="0" w:line="1"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(Registrant)</w:t>
      </w:r>
    </w:p>
    <w:p>
      <w:pPr>
        <w:spacing w:after="0" w:line="200" w:lineRule="exact"/>
        <w:rPr>
          <w:sz w:val="20"/>
          <w:szCs w:val="20"/>
          <w:color w:val="auto"/>
        </w:rPr>
      </w:pPr>
    </w:p>
    <w:p>
      <w:pPr>
        <w:spacing w:after="0" w:line="238" w:lineRule="exact"/>
        <w:rPr>
          <w:sz w:val="20"/>
          <w:szCs w:val="20"/>
          <w:color w:val="auto"/>
        </w:rPr>
      </w:pPr>
    </w:p>
    <w:p>
      <w:pPr>
        <w:ind w:left="1260"/>
        <w:spacing w:after="0"/>
        <w:rPr>
          <w:sz w:val="20"/>
          <w:szCs w:val="20"/>
          <w:color w:val="auto"/>
        </w:rPr>
      </w:pPr>
      <w:r>
        <w:rPr>
          <w:rFonts w:ascii="Arial" w:cs="Arial" w:eastAsia="Arial" w:hAnsi="Arial"/>
          <w:sz w:val="18"/>
          <w:szCs w:val="18"/>
          <w:color w:val="auto"/>
        </w:rPr>
        <w:t>By: /s/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969645</wp:posOffset>
            </wp:positionH>
            <wp:positionV relativeFrom="paragraph">
              <wp:posOffset>-10160</wp:posOffset>
            </wp:positionV>
            <wp:extent cx="1303655" cy="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1303655" cy="8255"/>
                    </a:xfrm>
                    <a:prstGeom prst="rect">
                      <a:avLst/>
                    </a:prstGeom>
                    <a:noFill/>
                  </pic:spPr>
                </pic:pic>
              </a:graphicData>
            </a:graphic>
          </wp:anchor>
        </w:drawing>
      </w:r>
    </w:p>
    <w:p>
      <w:pPr>
        <w:spacing w:after="0" w:line="176" w:lineRule="exact"/>
        <w:rPr>
          <w:sz w:val="20"/>
          <w:szCs w:val="20"/>
          <w:color w:val="auto"/>
        </w:rPr>
      </w:pPr>
    </w:p>
    <w:p>
      <w:pPr>
        <w:ind w:left="1260"/>
        <w:spacing w:after="0"/>
        <w:rPr>
          <w:sz w:val="20"/>
          <w:szCs w:val="20"/>
          <w:color w:val="auto"/>
        </w:rPr>
      </w:pPr>
      <w:r>
        <w:rPr>
          <w:rFonts w:ascii="Arial" w:cs="Arial" w:eastAsia="Arial" w:hAnsi="Arial"/>
          <w:sz w:val="18"/>
          <w:szCs w:val="18"/>
          <w:color w:val="auto"/>
        </w:rPr>
        <w:t>Name: Ana Graciela de Méndez</w:t>
      </w:r>
    </w:p>
    <w:p>
      <w:pPr>
        <w:ind w:left="1260"/>
        <w:spacing w:after="0"/>
        <w:rPr>
          <w:sz w:val="20"/>
          <w:szCs w:val="20"/>
          <w:color w:val="auto"/>
        </w:rPr>
      </w:pPr>
      <w:r>
        <w:rPr>
          <w:rFonts w:ascii="Arial" w:cs="Arial" w:eastAsia="Arial" w:hAnsi="Arial"/>
          <w:sz w:val="18"/>
          <w:szCs w:val="18"/>
          <w:color w:val="auto"/>
        </w:rPr>
        <w:t>Title: CFO</w:t>
      </w:r>
    </w:p>
    <w:p>
      <w:pPr>
        <w:sectPr>
          <w:pgSz w:w="11900" w:h="16838" w:orient="portrait"/>
          <w:cols w:equalWidth="0" w:num="1">
            <w:col w:w="11240"/>
          </w:cols>
          <w:pgMar w:left="320" w:top="1395" w:right="3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3157220</wp:posOffset>
            </wp:positionH>
            <wp:positionV relativeFrom="page">
              <wp:posOffset>586105</wp:posOffset>
            </wp:positionV>
            <wp:extent cx="1234440" cy="5226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extLst>
                    </a:blip>
                    <a:srcRect/>
                    <a:stretch>
                      <a:fillRect/>
                    </a:stretch>
                  </pic:blipFill>
                  <pic:spPr bwMode="auto">
                    <a:xfrm>
                      <a:off x="0" y="0"/>
                      <a:ext cx="1234440" cy="52260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center"/>
        <w:spacing w:after="0"/>
        <w:rPr>
          <w:sz w:val="20"/>
          <w:szCs w:val="20"/>
          <w:color w:val="auto"/>
        </w:rPr>
      </w:pPr>
      <w:r>
        <w:rPr>
          <w:rFonts w:ascii="Arial" w:cs="Arial" w:eastAsia="Arial" w:hAnsi="Arial"/>
          <w:sz w:val="22"/>
          <w:szCs w:val="22"/>
          <w:b w:val="1"/>
          <w:bCs w:val="1"/>
          <w:color w:val="auto"/>
        </w:rPr>
        <w:t>BLADEX ANNOUNCES VOTING RESULTS FROM</w:t>
      </w:r>
    </w:p>
    <w:p>
      <w:pPr>
        <w:jc w:val="center"/>
        <w:spacing w:after="0"/>
        <w:rPr>
          <w:sz w:val="20"/>
          <w:szCs w:val="20"/>
          <w:color w:val="auto"/>
        </w:rPr>
      </w:pPr>
      <w:r>
        <w:rPr>
          <w:rFonts w:ascii="Arial" w:cs="Arial" w:eastAsia="Arial" w:hAnsi="Arial"/>
          <w:sz w:val="22"/>
          <w:szCs w:val="22"/>
          <w:b w:val="1"/>
          <w:bCs w:val="1"/>
          <w:color w:val="auto"/>
        </w:rPr>
        <w:t>2022 ANNUAL MEETING OF SHAREHOLDERS</w:t>
      </w:r>
    </w:p>
    <w:p>
      <w:pPr>
        <w:spacing w:after="0" w:line="323" w:lineRule="exact"/>
        <w:rPr>
          <w:sz w:val="20"/>
          <w:szCs w:val="20"/>
          <w:color w:val="auto"/>
        </w:rPr>
      </w:pPr>
    </w:p>
    <w:p>
      <w:pPr>
        <w:jc w:val="both"/>
        <w:spacing w:after="0" w:line="298" w:lineRule="auto"/>
        <w:rPr>
          <w:sz w:val="20"/>
          <w:szCs w:val="20"/>
          <w:color w:val="auto"/>
        </w:rPr>
      </w:pPr>
      <w:r>
        <w:rPr>
          <w:rFonts w:ascii="Arial" w:cs="Arial" w:eastAsia="Arial" w:hAnsi="Arial"/>
          <w:sz w:val="19"/>
          <w:szCs w:val="19"/>
          <w:color w:val="auto"/>
        </w:rPr>
        <w:t>Panama City, Republic of Panama, May 3, 2022 - Banco Latinoamericano de Comercio Exterior, S.A. (“Bladex” or the “Bank”) is pleased to announce voting results from its Annual Meeting of Shareholders held on April 27, 2022 in a virtual format.</w:t>
      </w:r>
    </w:p>
    <w:p>
      <w:pPr>
        <w:spacing w:after="0" w:line="132" w:lineRule="exact"/>
        <w:rPr>
          <w:sz w:val="20"/>
          <w:szCs w:val="20"/>
          <w:color w:val="auto"/>
        </w:rPr>
      </w:pPr>
    </w:p>
    <w:p>
      <w:pPr>
        <w:spacing w:after="0"/>
        <w:rPr>
          <w:sz w:val="20"/>
          <w:szCs w:val="20"/>
          <w:color w:val="auto"/>
        </w:rPr>
      </w:pPr>
      <w:r>
        <w:rPr>
          <w:rFonts w:ascii="Arial" w:cs="Arial" w:eastAsia="Arial" w:hAnsi="Arial"/>
          <w:sz w:val="22"/>
          <w:szCs w:val="22"/>
          <w:color w:val="auto"/>
        </w:rPr>
        <w:t>A total of 62.85% of the issued and outstanding common shares of Bladex were represented at the meeting.</w:t>
      </w:r>
    </w:p>
    <w:p>
      <w:pPr>
        <w:spacing w:after="0" w:line="206" w:lineRule="exact"/>
        <w:rPr>
          <w:sz w:val="20"/>
          <w:szCs w:val="20"/>
          <w:color w:val="auto"/>
        </w:rPr>
      </w:pPr>
    </w:p>
    <w:p>
      <w:pPr>
        <w:spacing w:after="0"/>
        <w:rPr>
          <w:sz w:val="20"/>
          <w:szCs w:val="20"/>
          <w:color w:val="auto"/>
        </w:rPr>
      </w:pPr>
      <w:r>
        <w:rPr>
          <w:rFonts w:ascii="Arial" w:cs="Arial" w:eastAsia="Arial" w:hAnsi="Arial"/>
          <w:sz w:val="19"/>
          <w:szCs w:val="19"/>
          <w:color w:val="auto"/>
        </w:rPr>
        <w:t>At such meeting, each of the four nominated Directors was elected as Director of the Bank separately by the holders of each</w:t>
      </w:r>
    </w:p>
    <w:p>
      <w:pPr>
        <w:spacing w:after="0" w:line="16" w:lineRule="exact"/>
        <w:rPr>
          <w:sz w:val="20"/>
          <w:szCs w:val="20"/>
          <w:color w:val="auto"/>
        </w:rPr>
      </w:pPr>
    </w:p>
    <w:p>
      <w:pPr>
        <w:spacing w:after="0"/>
        <w:rPr>
          <w:sz w:val="20"/>
          <w:szCs w:val="20"/>
          <w:color w:val="auto"/>
        </w:rPr>
      </w:pPr>
      <w:r>
        <w:rPr>
          <w:rFonts w:ascii="Arial" w:cs="Arial" w:eastAsia="Arial" w:hAnsi="Arial"/>
          <w:sz w:val="22"/>
          <w:szCs w:val="22"/>
          <w:color w:val="auto"/>
        </w:rPr>
        <w:t>Class. Each Director was elected by a substantial majority of the votes represented at the meeting as follows:</w:t>
      </w:r>
    </w:p>
    <w:p>
      <w:pPr>
        <w:spacing w:after="0" w:line="236" w:lineRule="exact"/>
        <w:rPr>
          <w:sz w:val="20"/>
          <w:szCs w:val="20"/>
          <w:color w:val="auto"/>
        </w:rPr>
      </w:pPr>
    </w:p>
    <w:tbl>
      <w:tblPr>
        <w:tblLayout w:type="fixed"/>
        <w:tblInd w:w="0" w:type="dxa"/>
        <w:tblCellMar>
          <w:top w:w="0" w:type="dxa"/>
          <w:left w:w="0" w:type="dxa"/>
          <w:bottom w:w="0" w:type="dxa"/>
          <w:right w:w="0" w:type="dxa"/>
        </w:tblCellMar>
      </w:tblPr>
      <w:tr>
        <w:trPr>
          <w:trHeight w:val="282"/>
        </w:trPr>
        <w:tc>
          <w:tcPr>
            <w:tcW w:w="3260" w:type="dxa"/>
            <w:vAlign w:val="bottom"/>
            <w:tcBorders>
              <w:bottom w:val="single" w:sz="8" w:color="auto"/>
            </w:tcBorders>
          </w:tcPr>
          <w:p>
            <w:pPr>
              <w:ind w:left="20"/>
              <w:spacing w:after="0"/>
              <w:rPr>
                <w:sz w:val="20"/>
                <w:szCs w:val="20"/>
                <w:color w:val="auto"/>
              </w:rPr>
            </w:pPr>
            <w:r>
              <w:rPr>
                <w:rFonts w:ascii="Arial" w:cs="Arial" w:eastAsia="Arial" w:hAnsi="Arial"/>
                <w:sz w:val="22"/>
                <w:szCs w:val="22"/>
                <w:b w:val="1"/>
                <w:bCs w:val="1"/>
                <w:color w:val="auto"/>
              </w:rPr>
              <w:t>Director</w:t>
            </w:r>
          </w:p>
        </w:tc>
        <w:tc>
          <w:tcPr>
            <w:tcW w:w="2320" w:type="dxa"/>
            <w:vAlign w:val="bottom"/>
            <w:tcBorders>
              <w:bottom w:val="single" w:sz="8" w:color="auto"/>
            </w:tcBorders>
          </w:tcPr>
          <w:p>
            <w:pPr>
              <w:jc w:val="center"/>
              <w:spacing w:after="0"/>
              <w:rPr>
                <w:sz w:val="20"/>
                <w:szCs w:val="20"/>
                <w:color w:val="auto"/>
              </w:rPr>
            </w:pPr>
            <w:r>
              <w:rPr>
                <w:rFonts w:ascii="Arial" w:cs="Arial" w:eastAsia="Arial" w:hAnsi="Arial"/>
                <w:sz w:val="22"/>
                <w:szCs w:val="22"/>
                <w:b w:val="1"/>
                <w:bCs w:val="1"/>
                <w:color w:val="auto"/>
                <w:w w:val="81"/>
              </w:rPr>
              <w:t>Class</w:t>
            </w:r>
          </w:p>
        </w:tc>
        <w:tc>
          <w:tcPr>
            <w:tcW w:w="2820" w:type="dxa"/>
            <w:vAlign w:val="bottom"/>
            <w:tcBorders>
              <w:bottom w:val="single" w:sz="8" w:color="auto"/>
            </w:tcBorders>
          </w:tcPr>
          <w:p>
            <w:pPr>
              <w:ind w:left="960"/>
              <w:spacing w:after="0"/>
              <w:rPr>
                <w:sz w:val="20"/>
                <w:szCs w:val="20"/>
                <w:color w:val="auto"/>
              </w:rPr>
            </w:pPr>
            <w:r>
              <w:rPr>
                <w:rFonts w:ascii="Arial" w:cs="Arial" w:eastAsia="Arial" w:hAnsi="Arial"/>
                <w:sz w:val="22"/>
                <w:szCs w:val="22"/>
                <w:b w:val="1"/>
                <w:bCs w:val="1"/>
                <w:color w:val="auto"/>
              </w:rPr>
              <w:t>Votes FOR</w:t>
            </w:r>
          </w:p>
        </w:tc>
        <w:tc>
          <w:tcPr>
            <w:tcW w:w="2840" w:type="dxa"/>
            <w:vAlign w:val="bottom"/>
            <w:tcBorders>
              <w:bottom w:val="single" w:sz="8" w:color="auto"/>
            </w:tcBorders>
          </w:tcPr>
          <w:p>
            <w:pPr>
              <w:jc w:val="center"/>
              <w:ind w:left="72"/>
              <w:spacing w:after="0"/>
              <w:rPr>
                <w:sz w:val="20"/>
                <w:szCs w:val="20"/>
                <w:color w:val="auto"/>
              </w:rPr>
            </w:pPr>
            <w:r>
              <w:rPr>
                <w:rFonts w:ascii="Arial" w:cs="Arial" w:eastAsia="Arial" w:hAnsi="Arial"/>
                <w:sz w:val="22"/>
                <w:szCs w:val="22"/>
                <w:b w:val="1"/>
                <w:bCs w:val="1"/>
                <w:color w:val="auto"/>
                <w:w w:val="91"/>
              </w:rPr>
              <w:t>% Votes FOR</w:t>
            </w:r>
          </w:p>
        </w:tc>
      </w:tr>
      <w:tr>
        <w:trPr>
          <w:trHeight w:val="257"/>
        </w:trPr>
        <w:tc>
          <w:tcPr>
            <w:tcW w:w="3260" w:type="dxa"/>
            <w:vAlign w:val="bottom"/>
          </w:tcPr>
          <w:p>
            <w:pPr>
              <w:ind w:left="20"/>
              <w:spacing w:after="0"/>
              <w:rPr>
                <w:sz w:val="20"/>
                <w:szCs w:val="20"/>
                <w:color w:val="auto"/>
              </w:rPr>
            </w:pPr>
            <w:r>
              <w:rPr>
                <w:rFonts w:ascii="Arial" w:cs="Arial" w:eastAsia="Arial" w:hAnsi="Arial"/>
                <w:sz w:val="22"/>
                <w:szCs w:val="22"/>
                <w:color w:val="auto"/>
              </w:rPr>
              <w:t>Fausto de Andrade Ribeiro</w:t>
            </w:r>
          </w:p>
        </w:tc>
        <w:tc>
          <w:tcPr>
            <w:tcW w:w="2320" w:type="dxa"/>
            <w:vAlign w:val="bottom"/>
          </w:tcPr>
          <w:p>
            <w:pPr>
              <w:jc w:val="center"/>
              <w:spacing w:after="0"/>
              <w:rPr>
                <w:sz w:val="20"/>
                <w:szCs w:val="20"/>
                <w:color w:val="auto"/>
              </w:rPr>
            </w:pPr>
            <w:r>
              <w:rPr>
                <w:rFonts w:ascii="Arial" w:cs="Arial" w:eastAsia="Arial" w:hAnsi="Arial"/>
                <w:sz w:val="22"/>
                <w:szCs w:val="22"/>
                <w:color w:val="auto"/>
              </w:rPr>
              <w:t>A</w:t>
            </w:r>
          </w:p>
        </w:tc>
        <w:tc>
          <w:tcPr>
            <w:tcW w:w="2820" w:type="dxa"/>
            <w:vAlign w:val="bottom"/>
          </w:tcPr>
          <w:p>
            <w:pPr>
              <w:jc w:val="center"/>
              <w:spacing w:after="0"/>
              <w:rPr>
                <w:sz w:val="20"/>
                <w:szCs w:val="20"/>
                <w:color w:val="auto"/>
              </w:rPr>
            </w:pPr>
            <w:r>
              <w:rPr>
                <w:rFonts w:ascii="Arial" w:cs="Arial" w:eastAsia="Arial" w:hAnsi="Arial"/>
                <w:sz w:val="22"/>
                <w:szCs w:val="22"/>
                <w:color w:val="auto"/>
                <w:w w:val="87"/>
              </w:rPr>
              <w:t>4,440,201</w:t>
            </w:r>
          </w:p>
        </w:tc>
        <w:tc>
          <w:tcPr>
            <w:tcW w:w="2840" w:type="dxa"/>
            <w:vAlign w:val="bottom"/>
          </w:tcPr>
          <w:p>
            <w:pPr>
              <w:jc w:val="center"/>
              <w:ind w:left="72"/>
              <w:spacing w:after="0"/>
              <w:rPr>
                <w:sz w:val="20"/>
                <w:szCs w:val="20"/>
                <w:color w:val="auto"/>
              </w:rPr>
            </w:pPr>
            <w:r>
              <w:rPr>
                <w:rFonts w:ascii="Arial" w:cs="Arial" w:eastAsia="Arial" w:hAnsi="Arial"/>
                <w:sz w:val="22"/>
                <w:szCs w:val="22"/>
                <w:color w:val="auto"/>
                <w:w w:val="90"/>
              </w:rPr>
              <w:t>87.61</w:t>
            </w:r>
          </w:p>
        </w:tc>
      </w:tr>
      <w:tr>
        <w:trPr>
          <w:trHeight w:val="270"/>
        </w:trPr>
        <w:tc>
          <w:tcPr>
            <w:tcW w:w="3260" w:type="dxa"/>
            <w:vAlign w:val="bottom"/>
          </w:tcPr>
          <w:p>
            <w:pPr>
              <w:ind w:left="20"/>
              <w:spacing w:after="0"/>
              <w:rPr>
                <w:sz w:val="20"/>
                <w:szCs w:val="20"/>
                <w:color w:val="auto"/>
              </w:rPr>
            </w:pPr>
            <w:r>
              <w:rPr>
                <w:rFonts w:ascii="Arial" w:cs="Arial" w:eastAsia="Arial" w:hAnsi="Arial"/>
                <w:sz w:val="22"/>
                <w:szCs w:val="22"/>
                <w:color w:val="auto"/>
              </w:rPr>
              <w:t>Ricardo Manuel Arango</w:t>
            </w:r>
          </w:p>
        </w:tc>
        <w:tc>
          <w:tcPr>
            <w:tcW w:w="2320" w:type="dxa"/>
            <w:vAlign w:val="bottom"/>
          </w:tcPr>
          <w:p>
            <w:pPr>
              <w:jc w:val="center"/>
              <w:spacing w:after="0"/>
              <w:rPr>
                <w:sz w:val="20"/>
                <w:szCs w:val="20"/>
                <w:color w:val="auto"/>
              </w:rPr>
            </w:pPr>
            <w:r>
              <w:rPr>
                <w:rFonts w:ascii="Arial" w:cs="Arial" w:eastAsia="Arial" w:hAnsi="Arial"/>
                <w:sz w:val="22"/>
                <w:szCs w:val="22"/>
                <w:color w:val="auto"/>
                <w:w w:val="81"/>
              </w:rPr>
              <w:t>E</w:t>
            </w:r>
          </w:p>
        </w:tc>
        <w:tc>
          <w:tcPr>
            <w:tcW w:w="2820" w:type="dxa"/>
            <w:vAlign w:val="bottom"/>
          </w:tcPr>
          <w:p>
            <w:pPr>
              <w:jc w:val="center"/>
              <w:spacing w:after="0"/>
              <w:rPr>
                <w:sz w:val="20"/>
                <w:szCs w:val="20"/>
                <w:color w:val="auto"/>
              </w:rPr>
            </w:pPr>
            <w:r>
              <w:rPr>
                <w:rFonts w:ascii="Arial" w:cs="Arial" w:eastAsia="Arial" w:hAnsi="Arial"/>
                <w:sz w:val="22"/>
                <w:szCs w:val="22"/>
                <w:color w:val="auto"/>
                <w:w w:val="88"/>
              </w:rPr>
              <w:t>16,522,378</w:t>
            </w:r>
          </w:p>
        </w:tc>
        <w:tc>
          <w:tcPr>
            <w:tcW w:w="2840" w:type="dxa"/>
            <w:vAlign w:val="bottom"/>
          </w:tcPr>
          <w:p>
            <w:pPr>
              <w:jc w:val="center"/>
              <w:ind w:left="72"/>
              <w:spacing w:after="0"/>
              <w:rPr>
                <w:sz w:val="20"/>
                <w:szCs w:val="20"/>
                <w:color w:val="auto"/>
              </w:rPr>
            </w:pPr>
            <w:r>
              <w:rPr>
                <w:rFonts w:ascii="Arial" w:cs="Arial" w:eastAsia="Arial" w:hAnsi="Arial"/>
                <w:sz w:val="22"/>
                <w:szCs w:val="22"/>
                <w:color w:val="auto"/>
                <w:w w:val="90"/>
              </w:rPr>
              <w:t>96.90</w:t>
            </w:r>
          </w:p>
        </w:tc>
      </w:tr>
      <w:tr>
        <w:trPr>
          <w:trHeight w:val="216"/>
        </w:trPr>
        <w:tc>
          <w:tcPr>
            <w:tcW w:w="3260" w:type="dxa"/>
            <w:vAlign w:val="bottom"/>
          </w:tcPr>
          <w:p>
            <w:pPr>
              <w:ind w:left="80"/>
              <w:spacing w:after="0" w:line="216" w:lineRule="exact"/>
              <w:rPr>
                <w:sz w:val="20"/>
                <w:szCs w:val="20"/>
                <w:color w:val="auto"/>
              </w:rPr>
            </w:pPr>
            <w:r>
              <w:rPr>
                <w:rFonts w:ascii="Arial" w:cs="Arial" w:eastAsia="Arial" w:hAnsi="Arial"/>
                <w:sz w:val="22"/>
                <w:szCs w:val="22"/>
                <w:color w:val="auto"/>
              </w:rPr>
              <w:t>Roland Holst</w:t>
            </w:r>
          </w:p>
        </w:tc>
        <w:tc>
          <w:tcPr>
            <w:tcW w:w="2320" w:type="dxa"/>
            <w:vAlign w:val="bottom"/>
          </w:tcPr>
          <w:p>
            <w:pPr>
              <w:jc w:val="center"/>
              <w:spacing w:after="0" w:line="216" w:lineRule="exact"/>
              <w:rPr>
                <w:sz w:val="20"/>
                <w:szCs w:val="20"/>
                <w:color w:val="auto"/>
              </w:rPr>
            </w:pPr>
            <w:r>
              <w:rPr>
                <w:rFonts w:ascii="Arial" w:cs="Arial" w:eastAsia="Arial" w:hAnsi="Arial"/>
                <w:sz w:val="22"/>
                <w:szCs w:val="22"/>
                <w:color w:val="auto"/>
                <w:w w:val="81"/>
              </w:rPr>
              <w:t>E</w:t>
            </w:r>
          </w:p>
        </w:tc>
        <w:tc>
          <w:tcPr>
            <w:tcW w:w="2820" w:type="dxa"/>
            <w:vAlign w:val="bottom"/>
          </w:tcPr>
          <w:p>
            <w:pPr>
              <w:jc w:val="center"/>
              <w:spacing w:after="0" w:line="216" w:lineRule="exact"/>
              <w:rPr>
                <w:sz w:val="20"/>
                <w:szCs w:val="20"/>
                <w:color w:val="auto"/>
              </w:rPr>
            </w:pPr>
            <w:r>
              <w:rPr>
                <w:rFonts w:ascii="Arial" w:cs="Arial" w:eastAsia="Arial" w:hAnsi="Arial"/>
                <w:sz w:val="22"/>
                <w:szCs w:val="22"/>
                <w:color w:val="auto"/>
                <w:w w:val="88"/>
              </w:rPr>
              <w:t>16,486,397</w:t>
            </w:r>
          </w:p>
        </w:tc>
        <w:tc>
          <w:tcPr>
            <w:tcW w:w="2840" w:type="dxa"/>
            <w:vAlign w:val="bottom"/>
          </w:tcPr>
          <w:p>
            <w:pPr>
              <w:jc w:val="center"/>
              <w:ind w:left="72"/>
              <w:spacing w:after="0" w:line="216" w:lineRule="exact"/>
              <w:rPr>
                <w:sz w:val="20"/>
                <w:szCs w:val="20"/>
                <w:color w:val="auto"/>
              </w:rPr>
            </w:pPr>
            <w:r>
              <w:rPr>
                <w:rFonts w:ascii="Arial" w:cs="Arial" w:eastAsia="Arial" w:hAnsi="Arial"/>
                <w:sz w:val="22"/>
                <w:szCs w:val="22"/>
                <w:color w:val="auto"/>
                <w:w w:val="90"/>
              </w:rPr>
              <w:t>96.69</w:t>
            </w:r>
          </w:p>
        </w:tc>
      </w:tr>
      <w:tr>
        <w:trPr>
          <w:trHeight w:val="274"/>
        </w:trPr>
        <w:tc>
          <w:tcPr>
            <w:tcW w:w="3260" w:type="dxa"/>
            <w:vAlign w:val="bottom"/>
          </w:tcPr>
          <w:p>
            <w:pPr>
              <w:ind w:left="80"/>
              <w:spacing w:after="0"/>
              <w:rPr>
                <w:sz w:val="20"/>
                <w:szCs w:val="20"/>
                <w:color w:val="auto"/>
              </w:rPr>
            </w:pPr>
            <w:r>
              <w:rPr>
                <w:rFonts w:ascii="Arial" w:cs="Arial" w:eastAsia="Arial" w:hAnsi="Arial"/>
                <w:sz w:val="22"/>
                <w:szCs w:val="22"/>
                <w:color w:val="auto"/>
              </w:rPr>
              <w:t>Lorenza Martínez</w:t>
            </w:r>
          </w:p>
        </w:tc>
        <w:tc>
          <w:tcPr>
            <w:tcW w:w="2320" w:type="dxa"/>
            <w:vAlign w:val="bottom"/>
          </w:tcPr>
          <w:p>
            <w:pPr>
              <w:jc w:val="center"/>
              <w:spacing w:after="0"/>
              <w:rPr>
                <w:sz w:val="20"/>
                <w:szCs w:val="20"/>
                <w:color w:val="auto"/>
              </w:rPr>
            </w:pPr>
            <w:r>
              <w:rPr>
                <w:rFonts w:ascii="Arial" w:cs="Arial" w:eastAsia="Arial" w:hAnsi="Arial"/>
                <w:sz w:val="22"/>
                <w:szCs w:val="22"/>
                <w:color w:val="auto"/>
                <w:w w:val="81"/>
              </w:rPr>
              <w:t>E</w:t>
            </w:r>
          </w:p>
        </w:tc>
        <w:tc>
          <w:tcPr>
            <w:tcW w:w="2820" w:type="dxa"/>
            <w:vAlign w:val="bottom"/>
          </w:tcPr>
          <w:p>
            <w:pPr>
              <w:jc w:val="center"/>
              <w:spacing w:after="0"/>
              <w:rPr>
                <w:sz w:val="20"/>
                <w:szCs w:val="20"/>
                <w:color w:val="auto"/>
              </w:rPr>
            </w:pPr>
            <w:r>
              <w:rPr>
                <w:rFonts w:ascii="Arial" w:cs="Arial" w:eastAsia="Arial" w:hAnsi="Arial"/>
                <w:sz w:val="22"/>
                <w:szCs w:val="22"/>
                <w:color w:val="auto"/>
                <w:w w:val="88"/>
              </w:rPr>
              <w:t>16,850,765</w:t>
            </w:r>
          </w:p>
        </w:tc>
        <w:tc>
          <w:tcPr>
            <w:tcW w:w="2840" w:type="dxa"/>
            <w:vAlign w:val="bottom"/>
          </w:tcPr>
          <w:p>
            <w:pPr>
              <w:jc w:val="center"/>
              <w:ind w:left="72"/>
              <w:spacing w:after="0"/>
              <w:rPr>
                <w:sz w:val="20"/>
                <w:szCs w:val="20"/>
                <w:color w:val="auto"/>
              </w:rPr>
            </w:pPr>
            <w:r>
              <w:rPr>
                <w:rFonts w:ascii="Arial" w:cs="Arial" w:eastAsia="Arial" w:hAnsi="Arial"/>
                <w:sz w:val="22"/>
                <w:szCs w:val="22"/>
                <w:color w:val="auto"/>
                <w:w w:val="90"/>
              </w:rPr>
              <w:t>98.83</w:t>
            </w:r>
          </w:p>
        </w:tc>
      </w:tr>
    </w:tbl>
    <w:p>
      <w:pPr>
        <w:spacing w:after="0" w:line="200" w:lineRule="exact"/>
        <w:rPr>
          <w:sz w:val="20"/>
          <w:szCs w:val="20"/>
          <w:color w:val="auto"/>
        </w:rPr>
      </w:pPr>
    </w:p>
    <w:p>
      <w:pPr>
        <w:spacing w:after="0" w:line="336" w:lineRule="exact"/>
        <w:rPr>
          <w:sz w:val="20"/>
          <w:szCs w:val="20"/>
          <w:color w:val="auto"/>
        </w:rPr>
      </w:pPr>
    </w:p>
    <w:p>
      <w:pPr>
        <w:jc w:val="both"/>
        <w:spacing w:after="0" w:line="218" w:lineRule="auto"/>
        <w:rPr>
          <w:sz w:val="20"/>
          <w:szCs w:val="20"/>
          <w:color w:val="auto"/>
        </w:rPr>
      </w:pPr>
      <w:r>
        <w:rPr>
          <w:rFonts w:ascii="Arial" w:cs="Arial" w:eastAsia="Arial" w:hAnsi="Arial"/>
          <w:sz w:val="22"/>
          <w:szCs w:val="22"/>
          <w:color w:val="auto"/>
        </w:rPr>
        <w:t>Bladex's audited consolidated financial statements for the fiscal year ended December 31, 2021 were approved with 92.25% of the vote; KPMG was reappointed as the Bank's independent registered public accounting firm, or external auditor, for the year ended December 31, 2022 with 97.40% of the vote; and an advisory proposal on executive compensation was approved with 89.03% of the vote cast in favor.</w:t>
      </w:r>
    </w:p>
    <w:p>
      <w:pPr>
        <w:spacing w:after="0" w:line="188" w:lineRule="exact"/>
        <w:rPr>
          <w:sz w:val="20"/>
          <w:szCs w:val="20"/>
          <w:color w:val="auto"/>
        </w:rPr>
      </w:pPr>
    </w:p>
    <w:p>
      <w:pPr>
        <w:jc w:val="both"/>
        <w:spacing w:after="0" w:line="257" w:lineRule="auto"/>
        <w:rPr>
          <w:sz w:val="20"/>
          <w:szCs w:val="20"/>
          <w:color w:val="auto"/>
        </w:rPr>
      </w:pPr>
      <w:r>
        <w:rPr>
          <w:rFonts w:ascii="Arial" w:cs="Arial" w:eastAsia="Arial" w:hAnsi="Arial"/>
          <w:sz w:val="19"/>
          <w:szCs w:val="19"/>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the United States of America, and a Representative License in Peru, supporting the regional expansion and servicing of its customer base, which includes financial institutions and corporations.</w:t>
      </w:r>
    </w:p>
    <w:p>
      <w:pPr>
        <w:spacing w:after="0" w:line="171" w:lineRule="exact"/>
        <w:rPr>
          <w:sz w:val="20"/>
          <w:szCs w:val="20"/>
          <w:color w:val="auto"/>
        </w:rPr>
      </w:pPr>
    </w:p>
    <w:p>
      <w:pPr>
        <w:jc w:val="both"/>
        <w:spacing w:after="0" w:line="223" w:lineRule="auto"/>
        <w:rPr>
          <w:sz w:val="20"/>
          <w:szCs w:val="20"/>
          <w:color w:val="auto"/>
        </w:rPr>
      </w:pPr>
      <w:r>
        <w:rPr>
          <w:rFonts w:ascii="Arial" w:cs="Arial" w:eastAsia="Arial" w:hAnsi="Arial"/>
          <w:sz w:val="22"/>
          <w:szCs w:val="22"/>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186" w:lineRule="exact"/>
        <w:rPr>
          <w:sz w:val="20"/>
          <w:szCs w:val="20"/>
          <w:color w:val="auto"/>
        </w:rPr>
      </w:pPr>
    </w:p>
    <w:p>
      <w:pPr>
        <w:spacing w:after="0"/>
        <w:rPr>
          <w:sz w:val="20"/>
          <w:szCs w:val="20"/>
          <w:color w:val="auto"/>
        </w:rPr>
      </w:pPr>
      <w:r>
        <w:rPr>
          <w:rFonts w:ascii="Arial" w:cs="Arial" w:eastAsia="Arial" w:hAnsi="Arial"/>
          <w:sz w:val="22"/>
          <w:szCs w:val="22"/>
          <w:color w:val="auto"/>
        </w:rPr>
        <w:t>For further information on Bladex, please access its website at www.bladex.com or contact: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170180</wp:posOffset>
            </wp:positionV>
            <wp:extent cx="7132320" cy="7289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728980"/>
                    </a:xfrm>
                    <a:prstGeom prst="rect">
                      <a:avLst/>
                    </a:prstGeom>
                    <a:noFill/>
                  </pic:spPr>
                </pic:pic>
              </a:graphicData>
            </a:graphic>
          </wp:anchor>
        </w:drawing>
      </w:r>
    </w:p>
    <w:p>
      <w:pPr>
        <w:spacing w:after="0" w:line="235" w:lineRule="exact"/>
        <w:rPr>
          <w:sz w:val="20"/>
          <w:szCs w:val="20"/>
          <w:color w:val="auto"/>
        </w:rPr>
      </w:pPr>
    </w:p>
    <w:p>
      <w:pPr>
        <w:ind w:left="80"/>
        <w:spacing w:after="0"/>
        <w:rPr>
          <w:sz w:val="20"/>
          <w:szCs w:val="20"/>
          <w:color w:val="auto"/>
        </w:rPr>
      </w:pPr>
      <w:r>
        <w:rPr>
          <w:rFonts w:ascii="Arial" w:cs="Arial" w:eastAsia="Arial" w:hAnsi="Arial"/>
          <w:sz w:val="22"/>
          <w:szCs w:val="22"/>
          <w:color w:val="auto"/>
        </w:rPr>
        <w:t>Investor Relations</w:t>
      </w:r>
    </w:p>
    <w:p>
      <w:pPr>
        <w:ind w:left="80"/>
        <w:spacing w:after="0" w:line="204" w:lineRule="auto"/>
        <w:rPr>
          <w:sz w:val="20"/>
          <w:szCs w:val="20"/>
          <w:color w:val="auto"/>
        </w:rPr>
      </w:pPr>
      <w:r>
        <w:rPr>
          <w:rFonts w:ascii="Arial" w:cs="Arial" w:eastAsia="Arial" w:hAnsi="Arial"/>
          <w:sz w:val="22"/>
          <w:szCs w:val="22"/>
          <w:color w:val="auto"/>
        </w:rPr>
        <w:t>E-mail address: ir@bladex.com. Tel.: (+507) 210-8563</w:t>
      </w:r>
    </w:p>
    <w:p>
      <w:pPr>
        <w:ind w:left="80"/>
        <w:spacing w:after="0" w:line="231" w:lineRule="auto"/>
        <w:rPr>
          <w:sz w:val="20"/>
          <w:szCs w:val="20"/>
          <w:color w:val="auto"/>
        </w:rPr>
      </w:pPr>
      <w:r>
        <w:rPr>
          <w:rFonts w:ascii="Arial" w:cs="Arial" w:eastAsia="Arial" w:hAnsi="Arial"/>
          <w:sz w:val="22"/>
          <w:szCs w:val="22"/>
          <w:color w:val="auto"/>
        </w:rPr>
        <w:t>Head Office Address: Torre V, Business Park, Ave. La Rotonda, Urb. Costa del Este,</w:t>
      </w:r>
    </w:p>
    <w:p>
      <w:pPr>
        <w:ind w:left="80"/>
        <w:spacing w:after="0"/>
        <w:rPr>
          <w:sz w:val="20"/>
          <w:szCs w:val="20"/>
          <w:color w:val="auto"/>
        </w:rPr>
      </w:pPr>
      <w:r>
        <w:rPr>
          <w:rFonts w:ascii="Arial" w:cs="Arial" w:eastAsia="Arial" w:hAnsi="Arial"/>
          <w:sz w:val="22"/>
          <w:szCs w:val="22"/>
          <w:color w:val="auto"/>
        </w:rPr>
        <w:t>Panama, Republic of Panama</w:t>
      </w:r>
    </w:p>
    <w:sectPr>
      <w:pgSz w:w="11900" w:h="16838" w:orient="portrait"/>
      <w:cols w:equalWidth="0" w:num="1">
        <w:col w:w="11240"/>
      </w:cols>
      <w:pgMar w:left="320" w:top="1440"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jpeg"/><Relationship Id="rId10" Type="http://schemas.openxmlformats.org/officeDocument/2006/relationships/image" Target="media/image3.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2022-05-04T05:21:03Z</dcterms:created>
  <dcterms:modified xsi:type="dcterms:W3CDTF">2022-05-04T05:21:03Z</dcterms:modified>
</cp:coreProperties>
</file>